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仿宋"/>
          <w:b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b/>
          <w:color w:val="000000"/>
          <w:kern w:val="0"/>
          <w:sz w:val="31"/>
          <w:szCs w:val="31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" w:hAnsi="仿宋" w:eastAsia="仿宋" w:cs="仿宋"/>
          <w:b/>
          <w:color w:val="000000"/>
          <w:kern w:val="0"/>
          <w:sz w:val="31"/>
          <w:szCs w:val="31"/>
          <w:lang w:val="en-US" w:eastAsia="zh-CN" w:bidi="ar"/>
        </w:rPr>
      </w:pPr>
    </w:p>
    <w:tbl>
      <w:tblPr>
        <w:tblStyle w:val="3"/>
        <w:tblpPr w:leftFromText="180" w:rightFromText="180" w:vertAnchor="text" w:horzAnchor="page" w:tblpX="1756" w:tblpY="9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6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31"/>
                <w:szCs w:val="31"/>
                <w:lang w:val="en-US" w:eastAsia="zh-CN" w:bidi="ar"/>
              </w:rPr>
              <w:t>评分项目</w:t>
            </w:r>
          </w:p>
        </w:tc>
        <w:tc>
          <w:tcPr>
            <w:tcW w:w="6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31"/>
                <w:szCs w:val="31"/>
                <w:lang w:val="en-US" w:eastAsia="zh-CN" w:bidi="ar"/>
              </w:rPr>
              <w:t>评分要点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31"/>
                <w:szCs w:val="31"/>
                <w:lang w:val="en-US" w:eastAsia="zh-CN" w:bidi="ar"/>
              </w:rPr>
              <w:t>一、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1"/>
                <w:szCs w:val="31"/>
                <w:lang w:val="en-US" w:eastAsia="zh-CN" w:bidi="ar"/>
              </w:rPr>
              <w:t>剧本内容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1"/>
                <w:szCs w:val="31"/>
                <w:lang w:val="en-US" w:eastAsia="zh-CN" w:bidi="ar"/>
              </w:rPr>
              <w:t>30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 分)</w:t>
            </w:r>
          </w:p>
        </w:tc>
        <w:tc>
          <w:tcPr>
            <w:tcW w:w="6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原创性：确保剧本是原创的，没有抄袭或剽窃他人的作品。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2.历史准确性：在创作过程中，尊重历史事实，避免无根据的虚构或篡改。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3.剧情吸引力:剧情应具有紧张、有趣、感人或引人入胜的元素，能够吸引观众的注意力。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4.对话质量:对话应自然、生动，符合角色特点，有助于推动剧情发展。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2470" w:type="dxa"/>
            <w:vAlign w:val="center"/>
          </w:tcPr>
          <w:p>
            <w:pPr>
              <w:numPr>
                <w:ilvl w:val="0"/>
                <w:numId w:val="1"/>
              </w:numPr>
              <w:bidi w:val="0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1"/>
                <w:szCs w:val="31"/>
                <w:lang w:val="en-US" w:eastAsia="zh-CN" w:bidi="ar"/>
              </w:rPr>
              <w:t>剧本结构</w:t>
            </w:r>
          </w:p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1"/>
                <w:szCs w:val="31"/>
                <w:lang w:val="en-US" w:eastAsia="zh-CN" w:bidi="ar"/>
              </w:rPr>
              <w:t>15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31"/>
                <w:szCs w:val="31"/>
                <w:lang w:val="en-US" w:eastAsia="zh-CN" w:bidi="ar"/>
              </w:rPr>
              <w:t>分)</w:t>
            </w:r>
          </w:p>
        </w:tc>
        <w:tc>
          <w:tcPr>
            <w:tcW w:w="6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1.情节完整，包括开端、发展、高潮、结局，要有合理的起承转合。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2.逻辑清晰，事件发展符合逻辑规律，人物行为动机明确。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2470" w:type="dxa"/>
            <w:vAlign w:val="center"/>
          </w:tcPr>
          <w:p>
            <w:pPr>
              <w:numPr>
                <w:ilvl w:val="0"/>
                <w:numId w:val="1"/>
              </w:numPr>
              <w:bidi w:val="0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1"/>
                <w:szCs w:val="31"/>
                <w:lang w:val="en-US" w:eastAsia="zh-CN" w:bidi="ar"/>
              </w:rPr>
              <w:t>剧本概念</w:t>
            </w:r>
          </w:p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1"/>
                <w:szCs w:val="31"/>
                <w:lang w:val="en-US" w:eastAsia="zh-CN" w:bidi="ar"/>
              </w:rPr>
              <w:t>10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 分)</w:t>
            </w:r>
          </w:p>
        </w:tc>
        <w:tc>
          <w:tcPr>
            <w:tcW w:w="6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主题表达:剧本应清晰地表达一个主题或信息，使观众能够理解和产生共鸣。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创新性:鼓励剧本在表现形式、情节设置或主题呈现等方面具有创新性。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观众适应性:考虑剧本对目标观众的适应性和吸引力。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教育意义：具有一定的教育意义，能够传播红色文化，增强参与者的爱国意识。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2470" w:type="dxa"/>
            <w:vAlign w:val="center"/>
          </w:tcPr>
          <w:p>
            <w:pPr>
              <w:numPr>
                <w:ilvl w:val="0"/>
                <w:numId w:val="1"/>
              </w:numPr>
              <w:bidi w:val="0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1"/>
                <w:szCs w:val="31"/>
                <w:lang w:val="en-US" w:eastAsia="zh-CN" w:bidi="ar"/>
              </w:rPr>
              <w:t>角色塑造</w:t>
            </w:r>
          </w:p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1"/>
                <w:szCs w:val="31"/>
                <w:lang w:val="en-US" w:eastAsia="zh-CN" w:bidi="ar"/>
              </w:rPr>
              <w:t>40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 分)</w:t>
            </w:r>
          </w:p>
        </w:tc>
        <w:tc>
          <w:tcPr>
            <w:tcW w:w="6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角色塑造:角色应具有鲜明的个性和特点，人物形象丰满、可信，通过人物的语言、行为、心理描写等使每个角色都有独特的个性。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2470" w:type="dxa"/>
            <w:vAlign w:val="center"/>
          </w:tcPr>
          <w:p>
            <w:pPr>
              <w:numPr>
                <w:ilvl w:val="0"/>
                <w:numId w:val="1"/>
              </w:numPr>
              <w:bidi w:val="0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1"/>
                <w:szCs w:val="31"/>
                <w:lang w:val="en-US" w:eastAsia="zh-CN" w:bidi="ar"/>
              </w:rPr>
              <w:t>其他</w:t>
            </w:r>
          </w:p>
          <w:p>
            <w:pPr>
              <w:bidi w:val="0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1"/>
                <w:szCs w:val="31"/>
                <w:lang w:val="en-US" w:eastAsia="zh-CN" w:bidi="ar"/>
              </w:rPr>
              <w:t>5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31"/>
                <w:szCs w:val="31"/>
                <w:lang w:val="en-US" w:eastAsia="zh-CN" w:bidi="ar"/>
              </w:rPr>
              <w:t>分)</w:t>
            </w:r>
          </w:p>
        </w:tc>
        <w:tc>
          <w:tcPr>
            <w:tcW w:w="6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格式规范:剧本的格式应规范、整洁，便于阅读和理解。</w:t>
            </w:r>
          </w:p>
        </w:tc>
      </w:tr>
    </w:tbl>
    <w:p>
      <w:pPr>
        <w:jc w:val="center"/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  <w:t>长治学院首届红色剧本杀创作大赛评分标准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C21AA9"/>
    <w:multiLevelType w:val="singleLevel"/>
    <w:tmpl w:val="83C21AA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478969"/>
    <w:multiLevelType w:val="singleLevel"/>
    <w:tmpl w:val="624789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B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1114号宇宙护卫小将</cp:lastModifiedBy>
  <dcterms:modified xsi:type="dcterms:W3CDTF">2024-11-14T15:50:51Z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